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E9" w:rsidRPr="00F926BB" w:rsidRDefault="00AD5CA5" w:rsidP="00F926BB">
      <w:pPr>
        <w:jc w:val="center"/>
        <w:rPr>
          <w:b/>
        </w:rPr>
      </w:pPr>
      <w:bookmarkStart w:id="0" w:name="_GoBack"/>
      <w:bookmarkEnd w:id="0"/>
      <w:r w:rsidRPr="00F926BB">
        <w:rPr>
          <w:b/>
        </w:rPr>
        <w:t>Key Points</w:t>
      </w:r>
      <w:r w:rsidR="00956418">
        <w:rPr>
          <w:b/>
        </w:rPr>
        <w:t xml:space="preserve"> regarding UK Interconnection Points</w:t>
      </w:r>
      <w:r w:rsidRPr="00F926BB">
        <w:rPr>
          <w:b/>
        </w:rPr>
        <w:t xml:space="preserve"> for gas days from 1</w:t>
      </w:r>
      <w:r w:rsidRPr="00F926BB">
        <w:rPr>
          <w:b/>
          <w:vertAlign w:val="superscript"/>
        </w:rPr>
        <w:t>st</w:t>
      </w:r>
      <w:r w:rsidRPr="00F926BB">
        <w:rPr>
          <w:b/>
        </w:rPr>
        <w:t xml:space="preserve"> November 2015</w:t>
      </w:r>
    </w:p>
    <w:p w:rsidR="005923AF" w:rsidRDefault="005923AF" w:rsidP="005923AF">
      <w:r>
        <w:t>The new EU process</w:t>
      </w:r>
      <w:r w:rsidR="00D0325C">
        <w:t>es</w:t>
      </w:r>
      <w:r>
        <w:t xml:space="preserve"> for Nominations and Allocations were implemented for gas days effective from 1</w:t>
      </w:r>
      <w:r>
        <w:rPr>
          <w:vertAlign w:val="superscript"/>
        </w:rPr>
        <w:t>st</w:t>
      </w:r>
      <w:r>
        <w:t xml:space="preserve"> October 2015. On the 1</w:t>
      </w:r>
      <w:r>
        <w:rPr>
          <w:vertAlign w:val="superscript"/>
        </w:rPr>
        <w:t>st</w:t>
      </w:r>
      <w:r>
        <w:t xml:space="preserve"> November</w:t>
      </w:r>
      <w:r w:rsidR="00D0325C">
        <w:t xml:space="preserve"> 2015</w:t>
      </w:r>
      <w:r>
        <w:t xml:space="preserve"> the next major </w:t>
      </w:r>
      <w:r w:rsidR="007C0E31">
        <w:t xml:space="preserve">EU Code - </w:t>
      </w:r>
      <w:r>
        <w:t xml:space="preserve">Capacity Allocation Mechanisms </w:t>
      </w:r>
      <w:r w:rsidR="00D0325C">
        <w:t xml:space="preserve">(CAM) </w:t>
      </w:r>
      <w:r w:rsidR="007C0E31">
        <w:t xml:space="preserve">- </w:t>
      </w:r>
      <w:r>
        <w:t xml:space="preserve">becomes effective. This summary note outlines the key changes affecting Users of the National Transmission System on </w:t>
      </w:r>
      <w:r w:rsidR="007C0E31">
        <w:t xml:space="preserve">and before </w:t>
      </w:r>
      <w:r>
        <w:t>this date, and contains contact details if Users wish to request further information.</w:t>
      </w:r>
    </w:p>
    <w:p w:rsidR="00B80E0A" w:rsidRPr="00824833" w:rsidRDefault="00B80E0A" w:rsidP="00B80E0A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Calibri" w:eastAsia="Times New Roman" w:hAnsi="Calibri" w:cs="Calibri"/>
          <w:i/>
          <w:color w:val="000000"/>
          <w:szCs w:val="24"/>
        </w:rPr>
      </w:pPr>
      <w:r w:rsidRPr="00824833">
        <w:rPr>
          <w:rFonts w:ascii="Calibri" w:eastAsia="Times New Roman" w:hAnsi="Calibri" w:cs="Calibri"/>
          <w:i/>
          <w:color w:val="000000"/>
          <w:szCs w:val="24"/>
          <w:lang w:val="x-none"/>
        </w:rPr>
        <w:t xml:space="preserve">Please </w:t>
      </w:r>
      <w:r w:rsidR="008E2B34" w:rsidRPr="00824833">
        <w:rPr>
          <w:rFonts w:ascii="Calibri" w:eastAsia="Times New Roman" w:hAnsi="Calibri" w:cs="Calibri"/>
          <w:i/>
          <w:color w:val="000000"/>
          <w:szCs w:val="24"/>
        </w:rPr>
        <w:t>note</w:t>
      </w:r>
      <w:r w:rsidRPr="00824833">
        <w:rPr>
          <w:rFonts w:ascii="Calibri" w:eastAsia="Times New Roman" w:hAnsi="Calibri" w:cs="Calibri"/>
          <w:i/>
          <w:color w:val="000000"/>
          <w:szCs w:val="24"/>
          <w:lang w:val="x-none"/>
        </w:rPr>
        <w:t xml:space="preserve"> this is not a legal document, and where there is any discrepancy between</w:t>
      </w:r>
      <w:r w:rsidRPr="00824833">
        <w:rPr>
          <w:rFonts w:ascii="Calibri" w:eastAsia="Times New Roman" w:hAnsi="Calibri" w:cs="Calibri"/>
          <w:i/>
          <w:color w:val="000000"/>
          <w:szCs w:val="24"/>
        </w:rPr>
        <w:t xml:space="preserve"> </w:t>
      </w:r>
      <w:r w:rsidRPr="00824833">
        <w:rPr>
          <w:rFonts w:ascii="Calibri" w:eastAsia="Times New Roman" w:hAnsi="Calibri" w:cs="Calibri"/>
          <w:i/>
          <w:color w:val="000000"/>
          <w:szCs w:val="24"/>
          <w:lang w:val="x-none"/>
        </w:rPr>
        <w:t xml:space="preserve">this document and the </w:t>
      </w:r>
      <w:r w:rsidRPr="00824833">
        <w:rPr>
          <w:rFonts w:ascii="Calibri" w:eastAsia="Times New Roman" w:hAnsi="Calibri" w:cs="Calibri"/>
          <w:i/>
          <w:color w:val="000000"/>
          <w:szCs w:val="24"/>
        </w:rPr>
        <w:t>Uniform Network Code (UNC)</w:t>
      </w:r>
      <w:r w:rsidRPr="00824833">
        <w:rPr>
          <w:rFonts w:ascii="Calibri" w:eastAsia="Times New Roman" w:hAnsi="Calibri" w:cs="Calibri"/>
          <w:i/>
          <w:color w:val="000000"/>
          <w:szCs w:val="24"/>
          <w:lang w:val="x-none"/>
        </w:rPr>
        <w:t>,</w:t>
      </w:r>
      <w:r w:rsidRPr="00824833">
        <w:rPr>
          <w:rFonts w:ascii="Calibri" w:eastAsia="Times New Roman" w:hAnsi="Calibri" w:cs="Calibri"/>
          <w:i/>
          <w:color w:val="000000"/>
          <w:szCs w:val="24"/>
        </w:rPr>
        <w:t xml:space="preserve"> Interconnector Agreements (IAs) or Licence,</w:t>
      </w:r>
      <w:r w:rsidRPr="00824833">
        <w:rPr>
          <w:rFonts w:ascii="Calibri" w:eastAsia="Times New Roman" w:hAnsi="Calibri" w:cs="Calibri"/>
          <w:i/>
          <w:color w:val="000000"/>
          <w:szCs w:val="24"/>
          <w:lang w:val="x-none"/>
        </w:rPr>
        <w:t xml:space="preserve"> the </w:t>
      </w:r>
      <w:r w:rsidRPr="00824833">
        <w:rPr>
          <w:rFonts w:ascii="Calibri" w:eastAsia="Times New Roman" w:hAnsi="Calibri" w:cs="Calibri"/>
          <w:i/>
          <w:color w:val="000000"/>
          <w:szCs w:val="24"/>
        </w:rPr>
        <w:t>UNC / IA / Licence</w:t>
      </w:r>
      <w:r w:rsidRPr="00824833">
        <w:rPr>
          <w:rFonts w:ascii="Calibri" w:eastAsia="Times New Roman" w:hAnsi="Calibri" w:cs="Calibri"/>
          <w:i/>
          <w:color w:val="000000"/>
          <w:szCs w:val="24"/>
          <w:lang w:val="x-none"/>
        </w:rPr>
        <w:t xml:space="preserve"> will take precedence.</w:t>
      </w:r>
    </w:p>
    <w:p w:rsidR="00B80E0A" w:rsidRPr="00B80E0A" w:rsidRDefault="00B80E0A" w:rsidP="00B80E0A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AD5CA5" w:rsidRPr="005000B2" w:rsidRDefault="00AD5CA5">
      <w:pPr>
        <w:rPr>
          <w:b/>
        </w:rPr>
      </w:pPr>
      <w:r w:rsidRPr="005000B2">
        <w:rPr>
          <w:b/>
        </w:rPr>
        <w:t>CAM Capacity Auctions</w:t>
      </w:r>
    </w:p>
    <w:p w:rsidR="009C2F4C" w:rsidRDefault="009C2F4C" w:rsidP="009C2F4C">
      <w:pPr>
        <w:pStyle w:val="ListParagraph"/>
        <w:numPr>
          <w:ilvl w:val="0"/>
          <w:numId w:val="1"/>
        </w:numPr>
      </w:pPr>
      <w:r>
        <w:t>All auctions of primary capacity for Interconnection Points (IPs) will take place on PRISMA.</w:t>
      </w:r>
    </w:p>
    <w:p w:rsidR="00154F1D" w:rsidRDefault="00154F1D" w:rsidP="009C2F4C">
      <w:pPr>
        <w:pStyle w:val="ListParagraph"/>
        <w:numPr>
          <w:ilvl w:val="0"/>
          <w:numId w:val="1"/>
        </w:numPr>
      </w:pPr>
      <w:r>
        <w:t>Publication of Auction Information (Available Capacity, Prices, bundling info etc.) will also take place on PRISMA.</w:t>
      </w:r>
    </w:p>
    <w:p w:rsidR="009C2F4C" w:rsidRDefault="009C2F4C" w:rsidP="00CA13A6">
      <w:pPr>
        <w:pStyle w:val="ListParagraph"/>
        <w:numPr>
          <w:ilvl w:val="0"/>
          <w:numId w:val="1"/>
        </w:numPr>
      </w:pPr>
      <w:r>
        <w:t>Users must complete the PRISMA registration process before being able to use PRISMA functionalities.</w:t>
      </w:r>
      <w:r w:rsidR="00CA13A6">
        <w:t xml:space="preserve"> </w:t>
      </w:r>
      <w:r>
        <w:t xml:space="preserve">Users need to </w:t>
      </w:r>
      <w:r w:rsidR="005E60FD">
        <w:t>obtain</w:t>
      </w:r>
      <w:r>
        <w:t xml:space="preserve"> an Energy Identification Code (EIC) to complete PRISMA registration. EICs can be obtained from Xoserve who are a Local Issuing Office for EICs.</w:t>
      </w:r>
    </w:p>
    <w:p w:rsidR="00E2583F" w:rsidRDefault="00E2583F" w:rsidP="00E2583F">
      <w:pPr>
        <w:pStyle w:val="ListParagraph"/>
        <w:numPr>
          <w:ilvl w:val="0"/>
          <w:numId w:val="1"/>
        </w:numPr>
      </w:pPr>
      <w:r>
        <w:t>Auctions will take place</w:t>
      </w:r>
      <w:r w:rsidR="009C2F4C">
        <w:t xml:space="preserve"> on PRISMA</w:t>
      </w:r>
      <w:r>
        <w:t xml:space="preserve"> in line with the CAM auction calendar published annually by ENTSOG. (</w:t>
      </w:r>
      <w:hyperlink r:id="rId9" w:history="1">
        <w:r>
          <w:rPr>
            <w:rStyle w:val="Hyperlink"/>
          </w:rPr>
          <w:t>http://www.entsog.eu/publications/capacity-allocation-cam</w:t>
        </w:r>
      </w:hyperlink>
      <w:r>
        <w:t>)</w:t>
      </w:r>
    </w:p>
    <w:p w:rsidR="00E2583F" w:rsidRDefault="00AD5CA5" w:rsidP="00AD5CA5">
      <w:pPr>
        <w:pStyle w:val="ListParagraph"/>
        <w:numPr>
          <w:ilvl w:val="0"/>
          <w:numId w:val="1"/>
        </w:numPr>
      </w:pPr>
      <w:r>
        <w:t>The first CAM auctions for 1</w:t>
      </w:r>
      <w:r w:rsidRPr="00AD5CA5">
        <w:rPr>
          <w:vertAlign w:val="superscript"/>
        </w:rPr>
        <w:t>st</w:t>
      </w:r>
      <w:r>
        <w:t xml:space="preserve"> Nov</w:t>
      </w:r>
      <w:r w:rsidR="00D0325C">
        <w:t>ember 2015</w:t>
      </w:r>
      <w:r>
        <w:t xml:space="preserve"> will take place the day ahead on 31</w:t>
      </w:r>
      <w:r w:rsidRPr="00AD5CA5">
        <w:rPr>
          <w:vertAlign w:val="superscript"/>
        </w:rPr>
        <w:t>st</w:t>
      </w:r>
      <w:r w:rsidR="00560036">
        <w:t xml:space="preserve"> Oct</w:t>
      </w:r>
      <w:r w:rsidR="00D0325C">
        <w:t xml:space="preserve">ober </w:t>
      </w:r>
      <w:r w:rsidR="0017164B">
        <w:t>2015</w:t>
      </w:r>
      <w:r w:rsidR="00560036">
        <w:t>.</w:t>
      </w:r>
    </w:p>
    <w:p w:rsidR="00E2583F" w:rsidRDefault="0082354E" w:rsidP="00E2583F">
      <w:pPr>
        <w:pStyle w:val="ListParagraph"/>
        <w:numPr>
          <w:ilvl w:val="1"/>
          <w:numId w:val="1"/>
        </w:numPr>
      </w:pPr>
      <w:r>
        <w:t xml:space="preserve">The bid window </w:t>
      </w:r>
      <w:r w:rsidR="00E2583F">
        <w:t xml:space="preserve">for firm capacity </w:t>
      </w:r>
      <w:r>
        <w:t xml:space="preserve">opens at 15:30 GMT </w:t>
      </w:r>
      <w:r w:rsidR="00E2583F">
        <w:t>(</w:t>
      </w:r>
      <w:r>
        <w:t>which is equivalent to 16:30 CET</w:t>
      </w:r>
      <w:r w:rsidR="00E2583F">
        <w:t>) for 30 mins</w:t>
      </w:r>
      <w:r>
        <w:t>.</w:t>
      </w:r>
    </w:p>
    <w:p w:rsidR="00AD5CA5" w:rsidRDefault="00E2583F" w:rsidP="00E2583F">
      <w:pPr>
        <w:pStyle w:val="ListParagraph"/>
        <w:numPr>
          <w:ilvl w:val="1"/>
          <w:numId w:val="1"/>
        </w:numPr>
      </w:pPr>
      <w:r>
        <w:t>The bid window for interruptible capacity opens at 16:30 GMT for 30 mins.</w:t>
      </w:r>
    </w:p>
    <w:p w:rsidR="00BB3539" w:rsidRPr="00BB3539" w:rsidRDefault="00E2583F" w:rsidP="00250519">
      <w:pPr>
        <w:pStyle w:val="ListParagraph"/>
        <w:numPr>
          <w:ilvl w:val="1"/>
          <w:numId w:val="1"/>
        </w:numPr>
        <w:ind w:left="720" w:firstLine="360"/>
      </w:pPr>
      <w:r>
        <w:t>The bid window for the within day auctions then opens at 18:00 on D-1.</w:t>
      </w:r>
    </w:p>
    <w:p w:rsidR="00B103AB" w:rsidRDefault="00B103AB" w:rsidP="00250519">
      <w:pPr>
        <w:rPr>
          <w:b/>
        </w:rPr>
      </w:pPr>
    </w:p>
    <w:p w:rsidR="00250519" w:rsidRPr="005000B2" w:rsidRDefault="00250519" w:rsidP="00250519">
      <w:pPr>
        <w:rPr>
          <w:b/>
        </w:rPr>
      </w:pPr>
      <w:r w:rsidRPr="005000B2">
        <w:rPr>
          <w:b/>
        </w:rPr>
        <w:t xml:space="preserve">Relevant </w:t>
      </w:r>
      <w:r w:rsidR="00FF7F1C" w:rsidRPr="005000B2">
        <w:rPr>
          <w:b/>
        </w:rPr>
        <w:t xml:space="preserve">Interconnection </w:t>
      </w:r>
      <w:r w:rsidRPr="005000B2">
        <w:rPr>
          <w:b/>
        </w:rPr>
        <w:t>Points</w:t>
      </w:r>
      <w:r w:rsidR="00FF7F1C" w:rsidRPr="005000B2">
        <w:rPr>
          <w:b/>
        </w:rPr>
        <w:t xml:space="preserve"> (IPs) for GB</w:t>
      </w:r>
    </w:p>
    <w:p w:rsidR="00D2544C" w:rsidRDefault="00D2544C" w:rsidP="00250519">
      <w:pPr>
        <w:pStyle w:val="ListParagraph"/>
        <w:numPr>
          <w:ilvl w:val="0"/>
          <w:numId w:val="1"/>
        </w:numPr>
      </w:pPr>
      <w:r>
        <w:t xml:space="preserve">The relevant Entry and Exit points </w:t>
      </w:r>
      <w:r w:rsidR="0073527E">
        <w:t>where the EU rules are applied are listed below. At each point capacity can be bundled with the Adjacent TSO.</w:t>
      </w:r>
    </w:p>
    <w:tbl>
      <w:tblPr>
        <w:tblStyle w:val="TableGrid"/>
        <w:tblpPr w:leftFromText="180" w:rightFromText="180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817"/>
        <w:gridCol w:w="1331"/>
        <w:gridCol w:w="1872"/>
        <w:gridCol w:w="1630"/>
        <w:gridCol w:w="1541"/>
        <w:gridCol w:w="997"/>
      </w:tblGrid>
      <w:tr w:rsidR="005E60FD" w:rsidTr="0017164B">
        <w:tc>
          <w:tcPr>
            <w:tcW w:w="817" w:type="dxa"/>
            <w:shd w:val="pct10" w:color="auto" w:fill="auto"/>
          </w:tcPr>
          <w:p w:rsidR="005E60FD" w:rsidRDefault="005E60FD" w:rsidP="005E60FD">
            <w:r>
              <w:t>Entry / Exit</w:t>
            </w:r>
          </w:p>
        </w:tc>
        <w:tc>
          <w:tcPr>
            <w:tcW w:w="1331" w:type="dxa"/>
            <w:shd w:val="pct10" w:color="auto" w:fill="auto"/>
          </w:tcPr>
          <w:p w:rsidR="005E60FD" w:rsidRDefault="005E60FD" w:rsidP="005E60FD">
            <w:r>
              <w:t>Location</w:t>
            </w:r>
          </w:p>
        </w:tc>
        <w:tc>
          <w:tcPr>
            <w:tcW w:w="1872" w:type="dxa"/>
            <w:shd w:val="pct10" w:color="auto" w:fill="auto"/>
          </w:tcPr>
          <w:p w:rsidR="005E60FD" w:rsidRDefault="005E60FD" w:rsidP="005E60FD">
            <w:r>
              <w:t>Notes</w:t>
            </w:r>
          </w:p>
        </w:tc>
        <w:tc>
          <w:tcPr>
            <w:tcW w:w="1630" w:type="dxa"/>
            <w:shd w:val="pct10" w:color="auto" w:fill="auto"/>
          </w:tcPr>
          <w:p w:rsidR="005E60FD" w:rsidRDefault="005E60FD" w:rsidP="005E60FD">
            <w:r>
              <w:t>Name on PRISMA</w:t>
            </w:r>
          </w:p>
        </w:tc>
        <w:tc>
          <w:tcPr>
            <w:tcW w:w="1541" w:type="dxa"/>
            <w:shd w:val="pct10" w:color="auto" w:fill="auto"/>
          </w:tcPr>
          <w:p w:rsidR="005E60FD" w:rsidRDefault="005E60FD" w:rsidP="005E60FD">
            <w:r>
              <w:t>Adjacent TSO(s)</w:t>
            </w:r>
          </w:p>
        </w:tc>
        <w:tc>
          <w:tcPr>
            <w:tcW w:w="997" w:type="dxa"/>
            <w:shd w:val="pct10" w:color="auto" w:fill="auto"/>
          </w:tcPr>
          <w:p w:rsidR="005E60FD" w:rsidRDefault="005E60FD" w:rsidP="005E60FD">
            <w:r>
              <w:t>Capacity Units</w:t>
            </w:r>
          </w:p>
        </w:tc>
      </w:tr>
      <w:tr w:rsidR="005E60FD" w:rsidTr="005E60FD">
        <w:tc>
          <w:tcPr>
            <w:tcW w:w="817" w:type="dxa"/>
          </w:tcPr>
          <w:p w:rsidR="005E60FD" w:rsidRDefault="005E60FD" w:rsidP="005E60FD">
            <w:r>
              <w:t>Entry</w:t>
            </w:r>
          </w:p>
        </w:tc>
        <w:tc>
          <w:tcPr>
            <w:tcW w:w="1331" w:type="dxa"/>
          </w:tcPr>
          <w:p w:rsidR="005E60FD" w:rsidRDefault="005E60FD" w:rsidP="005E60FD">
            <w:r>
              <w:t>Bacton IP</w:t>
            </w:r>
          </w:p>
        </w:tc>
        <w:tc>
          <w:tcPr>
            <w:tcW w:w="1872" w:type="dxa"/>
          </w:tcPr>
          <w:p w:rsidR="005E60FD" w:rsidRDefault="005E60FD" w:rsidP="005E60FD">
            <w:r>
              <w:t xml:space="preserve">Created following Bacton </w:t>
            </w:r>
            <w:r w:rsidR="00392FAF">
              <w:t xml:space="preserve">ASEP </w:t>
            </w:r>
            <w:r>
              <w:t>split</w:t>
            </w:r>
          </w:p>
        </w:tc>
        <w:tc>
          <w:tcPr>
            <w:tcW w:w="1630" w:type="dxa"/>
          </w:tcPr>
          <w:p w:rsidR="005E60FD" w:rsidRDefault="005E60FD" w:rsidP="005E60FD">
            <w:r>
              <w:t>BactonUKEn</w:t>
            </w:r>
          </w:p>
        </w:tc>
        <w:tc>
          <w:tcPr>
            <w:tcW w:w="1541" w:type="dxa"/>
          </w:tcPr>
          <w:p w:rsidR="005E60FD" w:rsidRDefault="005E60FD" w:rsidP="005E60FD">
            <w:r>
              <w:t>BBL; IUK</w:t>
            </w:r>
          </w:p>
        </w:tc>
        <w:tc>
          <w:tcPr>
            <w:tcW w:w="997" w:type="dxa"/>
          </w:tcPr>
          <w:p w:rsidR="005E60FD" w:rsidRDefault="005E60FD" w:rsidP="005E60FD">
            <w:r>
              <w:t>kWh/h</w:t>
            </w:r>
          </w:p>
        </w:tc>
      </w:tr>
      <w:tr w:rsidR="005E60FD" w:rsidTr="005E60FD">
        <w:tc>
          <w:tcPr>
            <w:tcW w:w="817" w:type="dxa"/>
          </w:tcPr>
          <w:p w:rsidR="005E60FD" w:rsidRDefault="005E60FD" w:rsidP="005E60FD">
            <w:r>
              <w:t>Entry</w:t>
            </w:r>
          </w:p>
        </w:tc>
        <w:tc>
          <w:tcPr>
            <w:tcW w:w="1331" w:type="dxa"/>
          </w:tcPr>
          <w:p w:rsidR="005E60FD" w:rsidRDefault="005E60FD" w:rsidP="005E60FD">
            <w:r>
              <w:t>Moffat</w:t>
            </w:r>
          </w:p>
        </w:tc>
        <w:tc>
          <w:tcPr>
            <w:tcW w:w="1872" w:type="dxa"/>
          </w:tcPr>
          <w:p w:rsidR="005E60FD" w:rsidRDefault="005E60FD" w:rsidP="005E60FD">
            <w:r>
              <w:t>Virtual Entry Point</w:t>
            </w:r>
          </w:p>
        </w:tc>
        <w:tc>
          <w:tcPr>
            <w:tcW w:w="1630" w:type="dxa"/>
          </w:tcPr>
          <w:p w:rsidR="005E60FD" w:rsidRDefault="005E60FD" w:rsidP="00824833">
            <w:r>
              <w:t>MoffatUKE</w:t>
            </w:r>
            <w:r w:rsidR="00824833">
              <w:t>n</w:t>
            </w:r>
          </w:p>
        </w:tc>
        <w:tc>
          <w:tcPr>
            <w:tcW w:w="1541" w:type="dxa"/>
          </w:tcPr>
          <w:p w:rsidR="005E60FD" w:rsidRDefault="005E60FD" w:rsidP="00D0325C">
            <w:r>
              <w:t>G</w:t>
            </w:r>
            <w:r w:rsidR="00D0325C">
              <w:t>NI</w:t>
            </w:r>
            <w:r>
              <w:t>; PTL</w:t>
            </w:r>
          </w:p>
        </w:tc>
        <w:tc>
          <w:tcPr>
            <w:tcW w:w="997" w:type="dxa"/>
          </w:tcPr>
          <w:p w:rsidR="005E60FD" w:rsidRDefault="005E60FD" w:rsidP="005E60FD">
            <w:r>
              <w:t>kWh/d</w:t>
            </w:r>
          </w:p>
        </w:tc>
      </w:tr>
      <w:tr w:rsidR="005E60FD" w:rsidTr="005E60FD">
        <w:tc>
          <w:tcPr>
            <w:tcW w:w="817" w:type="dxa"/>
          </w:tcPr>
          <w:p w:rsidR="005E60FD" w:rsidRDefault="005E60FD" w:rsidP="005E60FD">
            <w:r>
              <w:t>Exit</w:t>
            </w:r>
          </w:p>
        </w:tc>
        <w:tc>
          <w:tcPr>
            <w:tcW w:w="1331" w:type="dxa"/>
          </w:tcPr>
          <w:p w:rsidR="005E60FD" w:rsidRDefault="005E60FD" w:rsidP="005E60FD">
            <w:r>
              <w:t>Bacton BBL</w:t>
            </w:r>
          </w:p>
        </w:tc>
        <w:tc>
          <w:tcPr>
            <w:tcW w:w="1872" w:type="dxa"/>
          </w:tcPr>
          <w:p w:rsidR="005E60FD" w:rsidRDefault="005E60FD" w:rsidP="005E60FD">
            <w:r>
              <w:t>Virtual Exit</w:t>
            </w:r>
            <w:r w:rsidR="00D0325C">
              <w:t xml:space="preserve"> </w:t>
            </w:r>
            <w:r>
              <w:t>Point</w:t>
            </w:r>
          </w:p>
        </w:tc>
        <w:tc>
          <w:tcPr>
            <w:tcW w:w="1630" w:type="dxa"/>
          </w:tcPr>
          <w:p w:rsidR="005E60FD" w:rsidRDefault="005E60FD" w:rsidP="005E60FD">
            <w:r>
              <w:t>BactonUKExBBL</w:t>
            </w:r>
          </w:p>
        </w:tc>
        <w:tc>
          <w:tcPr>
            <w:tcW w:w="1541" w:type="dxa"/>
          </w:tcPr>
          <w:p w:rsidR="005E60FD" w:rsidRDefault="005E60FD" w:rsidP="005E60FD">
            <w:r>
              <w:t>BBL</w:t>
            </w:r>
          </w:p>
        </w:tc>
        <w:tc>
          <w:tcPr>
            <w:tcW w:w="997" w:type="dxa"/>
          </w:tcPr>
          <w:p w:rsidR="005E60FD" w:rsidRDefault="005E60FD" w:rsidP="005E60FD">
            <w:r>
              <w:t>kWh/h</w:t>
            </w:r>
          </w:p>
        </w:tc>
      </w:tr>
      <w:tr w:rsidR="005E60FD" w:rsidTr="005E60FD">
        <w:tc>
          <w:tcPr>
            <w:tcW w:w="817" w:type="dxa"/>
          </w:tcPr>
          <w:p w:rsidR="005E60FD" w:rsidRDefault="005E60FD" w:rsidP="005E60FD">
            <w:r>
              <w:t>Exit</w:t>
            </w:r>
          </w:p>
        </w:tc>
        <w:tc>
          <w:tcPr>
            <w:tcW w:w="1331" w:type="dxa"/>
          </w:tcPr>
          <w:p w:rsidR="005E60FD" w:rsidRDefault="005E60FD" w:rsidP="005E60FD">
            <w:r>
              <w:t>Bacton IUK</w:t>
            </w:r>
          </w:p>
        </w:tc>
        <w:tc>
          <w:tcPr>
            <w:tcW w:w="1872" w:type="dxa"/>
          </w:tcPr>
          <w:p w:rsidR="005E60FD" w:rsidRDefault="005E60FD" w:rsidP="005E60FD">
            <w:pPr>
              <w:jc w:val="center"/>
            </w:pPr>
            <w:r>
              <w:t>-</w:t>
            </w:r>
          </w:p>
        </w:tc>
        <w:tc>
          <w:tcPr>
            <w:tcW w:w="1630" w:type="dxa"/>
          </w:tcPr>
          <w:p w:rsidR="005E60FD" w:rsidRDefault="005E60FD" w:rsidP="005E60FD">
            <w:r>
              <w:t>BactonUKExIUK</w:t>
            </w:r>
          </w:p>
        </w:tc>
        <w:tc>
          <w:tcPr>
            <w:tcW w:w="1541" w:type="dxa"/>
          </w:tcPr>
          <w:p w:rsidR="005E60FD" w:rsidRDefault="005E60FD" w:rsidP="005E60FD">
            <w:r>
              <w:t>IUK</w:t>
            </w:r>
          </w:p>
        </w:tc>
        <w:tc>
          <w:tcPr>
            <w:tcW w:w="997" w:type="dxa"/>
          </w:tcPr>
          <w:p w:rsidR="005E60FD" w:rsidRDefault="005E60FD" w:rsidP="005E60FD">
            <w:r>
              <w:t>kWh/h</w:t>
            </w:r>
          </w:p>
        </w:tc>
      </w:tr>
      <w:tr w:rsidR="005E60FD" w:rsidTr="005E60FD">
        <w:tc>
          <w:tcPr>
            <w:tcW w:w="817" w:type="dxa"/>
          </w:tcPr>
          <w:p w:rsidR="005E60FD" w:rsidRDefault="005E60FD" w:rsidP="005E60FD">
            <w:r>
              <w:t>Exit</w:t>
            </w:r>
          </w:p>
        </w:tc>
        <w:tc>
          <w:tcPr>
            <w:tcW w:w="1331" w:type="dxa"/>
          </w:tcPr>
          <w:p w:rsidR="005E60FD" w:rsidRDefault="005E60FD" w:rsidP="005E60FD">
            <w:r>
              <w:t>Moffat</w:t>
            </w:r>
          </w:p>
        </w:tc>
        <w:tc>
          <w:tcPr>
            <w:tcW w:w="1872" w:type="dxa"/>
          </w:tcPr>
          <w:p w:rsidR="005E60FD" w:rsidRDefault="005E60FD" w:rsidP="005E60FD">
            <w:pPr>
              <w:jc w:val="center"/>
            </w:pPr>
            <w:r>
              <w:t>-</w:t>
            </w:r>
          </w:p>
        </w:tc>
        <w:tc>
          <w:tcPr>
            <w:tcW w:w="1630" w:type="dxa"/>
          </w:tcPr>
          <w:p w:rsidR="005E60FD" w:rsidRDefault="005E60FD" w:rsidP="005E60FD">
            <w:r>
              <w:t>MoffatUKEx</w:t>
            </w:r>
          </w:p>
        </w:tc>
        <w:tc>
          <w:tcPr>
            <w:tcW w:w="1541" w:type="dxa"/>
          </w:tcPr>
          <w:p w:rsidR="005E60FD" w:rsidRDefault="005E60FD" w:rsidP="00D0325C">
            <w:r>
              <w:t>G</w:t>
            </w:r>
            <w:r w:rsidR="00D0325C">
              <w:t>NI</w:t>
            </w:r>
            <w:r>
              <w:t>; PTL</w:t>
            </w:r>
          </w:p>
        </w:tc>
        <w:tc>
          <w:tcPr>
            <w:tcW w:w="997" w:type="dxa"/>
          </w:tcPr>
          <w:p w:rsidR="005E60FD" w:rsidRDefault="005E60FD" w:rsidP="005E60FD">
            <w:r>
              <w:t>kWh/d</w:t>
            </w:r>
          </w:p>
        </w:tc>
      </w:tr>
    </w:tbl>
    <w:p w:rsidR="00E40648" w:rsidRDefault="00E40648" w:rsidP="00E40648"/>
    <w:p w:rsidR="00E40648" w:rsidRDefault="00E40648" w:rsidP="00E40648"/>
    <w:p w:rsidR="00CA13A6" w:rsidRDefault="00CA13A6" w:rsidP="003A35F1">
      <w:pPr>
        <w:pStyle w:val="ListParagraph"/>
        <w:numPr>
          <w:ilvl w:val="0"/>
          <w:numId w:val="1"/>
        </w:numPr>
      </w:pPr>
    </w:p>
    <w:p w:rsidR="00BB3539" w:rsidRDefault="00BB3539" w:rsidP="003A35F1">
      <w:pPr>
        <w:pStyle w:val="ListParagraph"/>
        <w:numPr>
          <w:ilvl w:val="0"/>
          <w:numId w:val="1"/>
        </w:numPr>
      </w:pPr>
    </w:p>
    <w:p w:rsidR="00BB3539" w:rsidRDefault="00BB3539" w:rsidP="003A35F1">
      <w:pPr>
        <w:pStyle w:val="ListParagraph"/>
        <w:numPr>
          <w:ilvl w:val="0"/>
          <w:numId w:val="1"/>
        </w:numPr>
      </w:pPr>
    </w:p>
    <w:p w:rsidR="003A35F1" w:rsidRDefault="003A35F1" w:rsidP="003A35F1">
      <w:pPr>
        <w:pStyle w:val="ListParagraph"/>
        <w:numPr>
          <w:ilvl w:val="0"/>
          <w:numId w:val="1"/>
        </w:numPr>
      </w:pPr>
      <w:r>
        <w:t>Note the current Bacton ASEP will be split into Bacton IP and Bacton UKCS on 1</w:t>
      </w:r>
      <w:r w:rsidRPr="003A35F1">
        <w:rPr>
          <w:vertAlign w:val="superscript"/>
        </w:rPr>
        <w:t>st</w:t>
      </w:r>
      <w:r>
        <w:t xml:space="preserve"> Nov 15. </w:t>
      </w:r>
      <w:r w:rsidR="008E2B34">
        <w:t xml:space="preserve">The </w:t>
      </w:r>
      <w:r>
        <w:t xml:space="preserve">Bacton UKCS </w:t>
      </w:r>
      <w:r w:rsidR="008E2B34">
        <w:t xml:space="preserve">ASEP </w:t>
      </w:r>
      <w:r>
        <w:t xml:space="preserve">will not be </w:t>
      </w:r>
      <w:r w:rsidR="00D0325C">
        <w:t>subject to</w:t>
      </w:r>
      <w:r>
        <w:t xml:space="preserve"> the new EU rules.</w:t>
      </w:r>
    </w:p>
    <w:p w:rsidR="00BB3539" w:rsidRPr="00B103AB" w:rsidRDefault="00F926BB" w:rsidP="00AD5CA5">
      <w:pPr>
        <w:pStyle w:val="ListParagraph"/>
        <w:numPr>
          <w:ilvl w:val="0"/>
          <w:numId w:val="1"/>
        </w:numPr>
      </w:pPr>
      <w:r>
        <w:lastRenderedPageBreak/>
        <w:t xml:space="preserve">Where a </w:t>
      </w:r>
      <w:r w:rsidR="00D0325C">
        <w:t>Us</w:t>
      </w:r>
      <w:r>
        <w:t xml:space="preserve">er </w:t>
      </w:r>
      <w:r w:rsidR="00D0325C">
        <w:t xml:space="preserve">specifies </w:t>
      </w:r>
      <w:r>
        <w:t>the current Bacton ASEP as a nominated point for</w:t>
      </w:r>
      <w:r w:rsidR="00120A99">
        <w:t xml:space="preserve"> UK</w:t>
      </w:r>
      <w:r>
        <w:t xml:space="preserve"> </w:t>
      </w:r>
      <w:r w:rsidR="00D0325C">
        <w:t>‘</w:t>
      </w:r>
      <w:r>
        <w:t>shorthaul</w:t>
      </w:r>
      <w:r w:rsidR="00D0325C">
        <w:t>’ (the optional NTS Commodity charge)</w:t>
      </w:r>
      <w:r>
        <w:t xml:space="preserve">, then </w:t>
      </w:r>
      <w:r w:rsidR="00A33D36">
        <w:t>i</w:t>
      </w:r>
      <w:r>
        <w:t xml:space="preserve">t </w:t>
      </w:r>
      <w:r w:rsidR="00A33D36">
        <w:t>is required to</w:t>
      </w:r>
      <w:r>
        <w:t xml:space="preserve"> </w:t>
      </w:r>
      <w:r w:rsidR="00A33D36">
        <w:t>specify</w:t>
      </w:r>
      <w:r>
        <w:t xml:space="preserve"> either Bacton UKCS or Bacton IP as the new nominated point.</w:t>
      </w:r>
    </w:p>
    <w:p w:rsidR="00AD5CA5" w:rsidRPr="005000B2" w:rsidRDefault="00AD5CA5" w:rsidP="00AD5CA5">
      <w:pPr>
        <w:rPr>
          <w:b/>
        </w:rPr>
      </w:pPr>
      <w:r w:rsidRPr="005000B2">
        <w:rPr>
          <w:b/>
        </w:rPr>
        <w:t>Units</w:t>
      </w:r>
    </w:p>
    <w:p w:rsidR="00AD5CA5" w:rsidRDefault="00AD5CA5" w:rsidP="00AD5CA5">
      <w:pPr>
        <w:pStyle w:val="ListParagraph"/>
        <w:numPr>
          <w:ilvl w:val="0"/>
          <w:numId w:val="1"/>
        </w:numPr>
      </w:pPr>
      <w:r>
        <w:t>In order to sell bundled capacity then</w:t>
      </w:r>
      <w:r w:rsidR="005D3E37">
        <w:t xml:space="preserve"> capacity</w:t>
      </w:r>
      <w:r>
        <w:t xml:space="preserve"> units will b</w:t>
      </w:r>
      <w:r w:rsidR="005D3E37">
        <w:t>e matched with the adjacent TSO. Please refer to the above table for the units applied at each point. e.g. At Bacton IUK then capacity will be co</w:t>
      </w:r>
      <w:r w:rsidR="004456B0">
        <w:t>n</w:t>
      </w:r>
      <w:r w:rsidR="005D3E37">
        <w:t>verted to kWh/h (and prices will be converted to p/kWh/h*runtime)</w:t>
      </w:r>
    </w:p>
    <w:p w:rsidR="00F926BB" w:rsidRDefault="00F926BB" w:rsidP="005D3E37">
      <w:pPr>
        <w:pStyle w:val="ListParagraph"/>
        <w:numPr>
          <w:ilvl w:val="1"/>
          <w:numId w:val="1"/>
        </w:numPr>
      </w:pPr>
      <w:r>
        <w:t>Where capacity is sold in kWh/h on PRISMA then it will be converted back to kWh/d to store on Gemini</w:t>
      </w:r>
      <w:r w:rsidR="00560036">
        <w:t>.</w:t>
      </w:r>
    </w:p>
    <w:p w:rsidR="00AD5CA5" w:rsidRDefault="00AD5CA5" w:rsidP="00AD5CA5">
      <w:pPr>
        <w:pStyle w:val="ListParagraph"/>
        <w:numPr>
          <w:ilvl w:val="0"/>
          <w:numId w:val="1"/>
        </w:numPr>
      </w:pPr>
      <w:r>
        <w:t>The following common reference conditions</w:t>
      </w:r>
      <w:r w:rsidR="005E60FD">
        <w:rPr>
          <w:rStyle w:val="FootnoteReference"/>
        </w:rPr>
        <w:footnoteReference w:id="1"/>
      </w:r>
      <w:r>
        <w:t xml:space="preserve"> will also apply</w:t>
      </w:r>
      <w:r w:rsidR="00392FAF">
        <w:t xml:space="preserve"> at each IP</w:t>
      </w:r>
      <w:r w:rsidR="00250519">
        <w:t>:</w:t>
      </w:r>
    </w:p>
    <w:p w:rsidR="00AD5CA5" w:rsidRDefault="00AD5CA5" w:rsidP="00AD5CA5">
      <w:pPr>
        <w:pStyle w:val="ListParagraph"/>
        <w:numPr>
          <w:ilvl w:val="1"/>
          <w:numId w:val="1"/>
        </w:numPr>
      </w:pPr>
      <w:r>
        <w:t xml:space="preserve">Moffat – reference </w:t>
      </w:r>
      <w:r w:rsidR="00250519">
        <w:t>conditions will remain on a</w:t>
      </w:r>
      <w:r>
        <w:t xml:space="preserve"> 15/15</w:t>
      </w:r>
      <w:r w:rsidR="00250519">
        <w:t xml:space="preserve"> basis.</w:t>
      </w:r>
    </w:p>
    <w:p w:rsidR="00AD5CA5" w:rsidRDefault="00AD5CA5" w:rsidP="00AD5CA5">
      <w:pPr>
        <w:pStyle w:val="ListParagraph"/>
        <w:numPr>
          <w:ilvl w:val="1"/>
          <w:numId w:val="1"/>
        </w:numPr>
      </w:pPr>
      <w:r>
        <w:t>Bacton IP</w:t>
      </w:r>
      <w:r w:rsidR="00F926BB">
        <w:t>, Bacton IUK and Bacton BBL</w:t>
      </w:r>
      <w:r>
        <w:t xml:space="preserve"> – reference conditions will remain </w:t>
      </w:r>
      <w:r w:rsidR="00250519">
        <w:t>on a</w:t>
      </w:r>
      <w:r>
        <w:t xml:space="preserve"> 15/15 </w:t>
      </w:r>
      <w:r w:rsidR="00250519">
        <w:t xml:space="preserve">basis </w:t>
      </w:r>
      <w:r w:rsidR="00F926BB">
        <w:t>on the UK side</w:t>
      </w:r>
      <w:r w:rsidR="00F926BB">
        <w:rPr>
          <w:rStyle w:val="FootnoteReference"/>
        </w:rPr>
        <w:footnoteReference w:id="2"/>
      </w:r>
      <w:r w:rsidR="00F926BB">
        <w:t xml:space="preserve"> </w:t>
      </w:r>
      <w:r w:rsidR="005D3E37">
        <w:t>until 30</w:t>
      </w:r>
      <w:r w:rsidRPr="00AD5CA5">
        <w:rPr>
          <w:vertAlign w:val="superscript"/>
        </w:rPr>
        <w:t>t</w:t>
      </w:r>
      <w:r w:rsidR="005D3E37">
        <w:rPr>
          <w:vertAlign w:val="superscript"/>
        </w:rPr>
        <w:t>h</w:t>
      </w:r>
      <w:r>
        <w:t xml:space="preserve"> </w:t>
      </w:r>
      <w:r w:rsidR="005D3E37">
        <w:t>April</w:t>
      </w:r>
      <w:r>
        <w:t xml:space="preserve"> 2016</w:t>
      </w:r>
      <w:r w:rsidR="005D3E37">
        <w:rPr>
          <w:rStyle w:val="FootnoteReference"/>
        </w:rPr>
        <w:footnoteReference w:id="3"/>
      </w:r>
      <w:r w:rsidR="00560036">
        <w:t>.</w:t>
      </w:r>
    </w:p>
    <w:p w:rsidR="00BB3539" w:rsidRPr="00BB3539" w:rsidRDefault="00AD5CA5" w:rsidP="00250519">
      <w:pPr>
        <w:pStyle w:val="ListParagraph"/>
        <w:numPr>
          <w:ilvl w:val="1"/>
          <w:numId w:val="1"/>
        </w:numPr>
      </w:pPr>
      <w:r>
        <w:t xml:space="preserve">Bacton IP – reference conditions will change to </w:t>
      </w:r>
      <w:r w:rsidR="00250519">
        <w:t xml:space="preserve">a </w:t>
      </w:r>
      <w:r>
        <w:t>0/25</w:t>
      </w:r>
      <w:r w:rsidR="00250519">
        <w:t xml:space="preserve"> basis</w:t>
      </w:r>
      <w:r>
        <w:t xml:space="preserve"> from 1</w:t>
      </w:r>
      <w:r w:rsidRPr="00AD5CA5">
        <w:rPr>
          <w:vertAlign w:val="superscript"/>
        </w:rPr>
        <w:t>st</w:t>
      </w:r>
      <w:r>
        <w:t xml:space="preserve"> </w:t>
      </w:r>
      <w:r w:rsidR="005D3E37">
        <w:t>May</w:t>
      </w:r>
      <w:r>
        <w:t xml:space="preserve"> 2016.</w:t>
      </w:r>
    </w:p>
    <w:p w:rsidR="00250519" w:rsidRPr="005000B2" w:rsidRDefault="00250519" w:rsidP="00250519">
      <w:pPr>
        <w:rPr>
          <w:b/>
        </w:rPr>
      </w:pPr>
      <w:r w:rsidRPr="005000B2">
        <w:rPr>
          <w:b/>
        </w:rPr>
        <w:t>Bundling</w:t>
      </w:r>
    </w:p>
    <w:p w:rsidR="00250519" w:rsidRDefault="00250519" w:rsidP="00250519">
      <w:pPr>
        <w:pStyle w:val="ListParagraph"/>
        <w:numPr>
          <w:ilvl w:val="0"/>
          <w:numId w:val="1"/>
        </w:numPr>
      </w:pPr>
      <w:r>
        <w:t>Available (unsold) capacity will be offered as Bundled with the Adjacent TSO where possible</w:t>
      </w:r>
      <w:r w:rsidR="00560036">
        <w:t>.</w:t>
      </w:r>
    </w:p>
    <w:p w:rsidR="00606271" w:rsidRDefault="00606271" w:rsidP="00606271">
      <w:pPr>
        <w:pStyle w:val="ListParagraph"/>
        <w:numPr>
          <w:ilvl w:val="1"/>
          <w:numId w:val="1"/>
        </w:numPr>
      </w:pPr>
      <w:r>
        <w:t>The TSO with excess Available capacity may offer the excess as unbundled capacity.</w:t>
      </w:r>
    </w:p>
    <w:p w:rsidR="00F926BB" w:rsidRDefault="00F926BB" w:rsidP="00250519">
      <w:pPr>
        <w:pStyle w:val="ListParagraph"/>
        <w:numPr>
          <w:ilvl w:val="0"/>
          <w:numId w:val="1"/>
        </w:numPr>
      </w:pPr>
      <w:r>
        <w:t xml:space="preserve">A single legal entity must </w:t>
      </w:r>
      <w:r w:rsidR="00606271">
        <w:t>bid for / acquire</w:t>
      </w:r>
      <w:r>
        <w:t xml:space="preserve"> the 2 </w:t>
      </w:r>
      <w:r w:rsidR="00120A99">
        <w:t>‘</w:t>
      </w:r>
      <w:r>
        <w:t>halves</w:t>
      </w:r>
      <w:r w:rsidR="00120A99">
        <w:t>’</w:t>
      </w:r>
      <w:r>
        <w:t xml:space="preserve"> of the capacity bundle on each side of the IP. The entity is identified by having a single EIC.</w:t>
      </w:r>
    </w:p>
    <w:p w:rsidR="00AC501C" w:rsidRDefault="00AC501C" w:rsidP="00250519">
      <w:pPr>
        <w:pStyle w:val="ListParagraph"/>
        <w:numPr>
          <w:ilvl w:val="0"/>
          <w:numId w:val="1"/>
        </w:numPr>
      </w:pPr>
      <w:r>
        <w:t>The UK Business Associate (BA) codes must be linked to a single EIC (and vice versa).</w:t>
      </w:r>
    </w:p>
    <w:p w:rsidR="00BB3539" w:rsidRPr="00BB3539" w:rsidRDefault="00F926BB" w:rsidP="00250519">
      <w:pPr>
        <w:pStyle w:val="ListParagraph"/>
        <w:numPr>
          <w:ilvl w:val="0"/>
          <w:numId w:val="1"/>
        </w:numPr>
      </w:pPr>
      <w:r>
        <w:t>Capacity that has been sold as unbundled may be bundled by a Shipper by following the Voluntary Bundling process (this process is already active).</w:t>
      </w:r>
    </w:p>
    <w:p w:rsidR="00250519" w:rsidRPr="005000B2" w:rsidRDefault="00250519" w:rsidP="00250519">
      <w:pPr>
        <w:rPr>
          <w:b/>
        </w:rPr>
      </w:pPr>
      <w:r w:rsidRPr="005000B2">
        <w:rPr>
          <w:b/>
        </w:rPr>
        <w:t>Noms vs Capacity</w:t>
      </w:r>
    </w:p>
    <w:p w:rsidR="001F02C0" w:rsidRDefault="001F02C0" w:rsidP="00120A99">
      <w:pPr>
        <w:pStyle w:val="ListParagraph"/>
        <w:numPr>
          <w:ilvl w:val="0"/>
          <w:numId w:val="1"/>
        </w:numPr>
      </w:pPr>
      <w:r>
        <w:t>National Grid will perform no ex-ante validation of nominations</w:t>
      </w:r>
      <w:r>
        <w:rPr>
          <w:rStyle w:val="FootnoteReference"/>
        </w:rPr>
        <w:footnoteReference w:id="4"/>
      </w:r>
      <w:r>
        <w:t>.</w:t>
      </w:r>
      <w:r w:rsidR="00120A99">
        <w:t xml:space="preserve"> </w:t>
      </w:r>
      <w:r>
        <w:t xml:space="preserve">This means </w:t>
      </w:r>
      <w:r w:rsidR="00A33D36">
        <w:t>Us</w:t>
      </w:r>
      <w:r>
        <w:t>ers can use double-sided or single-sided nominations regardless of what capacity (bundled/unbundled) they do or do not hold.</w:t>
      </w:r>
      <w:r w:rsidR="00C66D74">
        <w:t xml:space="preserve"> (Further info is contained in our FAQs on our EU implementation </w:t>
      </w:r>
      <w:hyperlink r:id="rId10" w:history="1">
        <w:r w:rsidR="00C66D74" w:rsidRPr="00C66D74">
          <w:rPr>
            <w:rStyle w:val="Hyperlink"/>
          </w:rPr>
          <w:t>webpage</w:t>
        </w:r>
      </w:hyperlink>
      <w:r w:rsidR="00C66D74">
        <w:t>)</w:t>
      </w:r>
    </w:p>
    <w:p w:rsidR="00BB3539" w:rsidRPr="00BB3539" w:rsidRDefault="001F02C0" w:rsidP="00946940">
      <w:pPr>
        <w:pStyle w:val="ListParagraph"/>
        <w:numPr>
          <w:ilvl w:val="0"/>
          <w:numId w:val="1"/>
        </w:numPr>
      </w:pPr>
      <w:r>
        <w:t xml:space="preserve">Ex-post validation of nominations will </w:t>
      </w:r>
      <w:r w:rsidR="00120A99">
        <w:t xml:space="preserve">effectively </w:t>
      </w:r>
      <w:r w:rsidR="000B3EAB">
        <w:t>continue through the over</w:t>
      </w:r>
      <w:r>
        <w:t xml:space="preserve">run charge. i.e. </w:t>
      </w:r>
      <w:r w:rsidR="00A33D36">
        <w:t>Us</w:t>
      </w:r>
      <w:r>
        <w:t>ers should hold enough capacity at the end of the day to cover their final allocation for the day at each point.</w:t>
      </w:r>
      <w:r w:rsidR="00120A99">
        <w:t xml:space="preserve"> </w:t>
      </w:r>
      <w:r>
        <w:t>For the avoidance of doubt the overrun charge will remain an end of the day calculation even if capacity is sold hourly (kWh/h) on PRISMA.</w:t>
      </w:r>
    </w:p>
    <w:p w:rsidR="00946940" w:rsidRPr="005000B2" w:rsidRDefault="00946940" w:rsidP="00946940">
      <w:pPr>
        <w:rPr>
          <w:b/>
        </w:rPr>
      </w:pPr>
      <w:r w:rsidRPr="005000B2">
        <w:rPr>
          <w:b/>
        </w:rPr>
        <w:t>Transfers</w:t>
      </w:r>
    </w:p>
    <w:p w:rsidR="00946940" w:rsidRDefault="009E5D07" w:rsidP="00946940">
      <w:pPr>
        <w:pStyle w:val="ListParagraph"/>
        <w:numPr>
          <w:ilvl w:val="0"/>
          <w:numId w:val="1"/>
        </w:numPr>
      </w:pPr>
      <w:r>
        <w:t>Transfers of National Grid IP capacity</w:t>
      </w:r>
      <w:r w:rsidR="00946940">
        <w:t xml:space="preserve"> must be via PRISMA</w:t>
      </w:r>
      <w:r w:rsidR="00560036">
        <w:t>.</w:t>
      </w:r>
    </w:p>
    <w:p w:rsidR="00946940" w:rsidRDefault="00946940" w:rsidP="00946940">
      <w:pPr>
        <w:pStyle w:val="ListParagraph"/>
        <w:numPr>
          <w:ilvl w:val="0"/>
          <w:numId w:val="1"/>
        </w:numPr>
      </w:pPr>
      <w:r>
        <w:t>Transfers should be marked as bundled (2 TSOs) or unbundled (1 TSO). Bundled capacity transfers will require the approval of both TSOs.</w:t>
      </w:r>
    </w:p>
    <w:p w:rsidR="00946940" w:rsidRDefault="00946940" w:rsidP="00606271">
      <w:pPr>
        <w:pStyle w:val="ListParagraph"/>
        <w:numPr>
          <w:ilvl w:val="1"/>
          <w:numId w:val="1"/>
        </w:numPr>
      </w:pPr>
      <w:r>
        <w:lastRenderedPageBreak/>
        <w:t>IUK are not using PRISMA for transfers</w:t>
      </w:r>
      <w:r w:rsidR="009E5D07">
        <w:t>,</w:t>
      </w:r>
      <w:r>
        <w:t xml:space="preserve"> so </w:t>
      </w:r>
      <w:r w:rsidR="009E5D07">
        <w:t>transfers of NG-IUK bundled capacity should be submitted separately on both PRISMA (as unbundled) and the IUK system.</w:t>
      </w:r>
    </w:p>
    <w:p w:rsidR="009E5D07" w:rsidRDefault="009E5D07" w:rsidP="00946940">
      <w:pPr>
        <w:pStyle w:val="ListParagraph"/>
        <w:numPr>
          <w:ilvl w:val="0"/>
          <w:numId w:val="1"/>
        </w:numPr>
      </w:pPr>
      <w:r>
        <w:t>Transfers shall be ‘Tran</w:t>
      </w:r>
      <w:r w:rsidR="00221C8E">
        <w:t>s</w:t>
      </w:r>
      <w:r>
        <w:t>fer of Use’ and not ‘assignment</w:t>
      </w:r>
      <w:r>
        <w:rPr>
          <w:rStyle w:val="FootnoteReference"/>
        </w:rPr>
        <w:footnoteReference w:id="5"/>
      </w:r>
      <w:r>
        <w:t>’</w:t>
      </w:r>
      <w:r w:rsidR="00560036">
        <w:t>.</w:t>
      </w:r>
    </w:p>
    <w:p w:rsidR="00BB3539" w:rsidRPr="00BB3539" w:rsidRDefault="009E5D07" w:rsidP="009E5D07">
      <w:pPr>
        <w:pStyle w:val="ListParagraph"/>
        <w:numPr>
          <w:ilvl w:val="0"/>
          <w:numId w:val="1"/>
        </w:numPr>
      </w:pPr>
      <w:r>
        <w:t>Transfers should be completed using the OTC method on PRISMA.</w:t>
      </w:r>
    </w:p>
    <w:p w:rsidR="00006FE8" w:rsidRPr="005000B2" w:rsidRDefault="00006FE8" w:rsidP="00006FE8">
      <w:pPr>
        <w:rPr>
          <w:b/>
        </w:rPr>
      </w:pPr>
      <w:r w:rsidRPr="005000B2">
        <w:rPr>
          <w:b/>
        </w:rPr>
        <w:t>Transition Arrangements</w:t>
      </w:r>
    </w:p>
    <w:p w:rsidR="00006FE8" w:rsidRDefault="00006FE8" w:rsidP="00006FE8">
      <w:pPr>
        <w:pStyle w:val="ListParagraph"/>
        <w:numPr>
          <w:ilvl w:val="0"/>
          <w:numId w:val="1"/>
        </w:numPr>
      </w:pPr>
      <w:r>
        <w:t>Any legacy Enduring Exit (Flat) Capacity at IPs will be end-dated from 1</w:t>
      </w:r>
      <w:r w:rsidRPr="005000B2">
        <w:rPr>
          <w:vertAlign w:val="superscript"/>
        </w:rPr>
        <w:t>st</w:t>
      </w:r>
      <w:r>
        <w:t xml:space="preserve"> October 2020. It can continue to be Reduced or Assigned to other Users up to this date.</w:t>
      </w:r>
    </w:p>
    <w:p w:rsidR="009E5D07" w:rsidRPr="005000B2" w:rsidRDefault="00CA13A6" w:rsidP="009E5D07">
      <w:pPr>
        <w:rPr>
          <w:b/>
        </w:rPr>
      </w:pPr>
      <w:r>
        <w:rPr>
          <w:b/>
        </w:rPr>
        <w:t>Available</w:t>
      </w:r>
      <w:r w:rsidR="009E5D07" w:rsidRPr="005000B2">
        <w:rPr>
          <w:b/>
        </w:rPr>
        <w:t xml:space="preserve"> Capacity</w:t>
      </w:r>
    </w:p>
    <w:p w:rsidR="009E5D07" w:rsidRDefault="009E5D07" w:rsidP="009E5D07">
      <w:pPr>
        <w:pStyle w:val="ListParagraph"/>
        <w:numPr>
          <w:ilvl w:val="0"/>
          <w:numId w:val="1"/>
        </w:numPr>
      </w:pPr>
      <w:r>
        <w:t>National Grid is obliged to offer the technical capacity to the market at each point. The technical capacity for N</w:t>
      </w:r>
      <w:r w:rsidR="00A33D36">
        <w:t xml:space="preserve">ational </w:t>
      </w:r>
      <w:r>
        <w:t>G</w:t>
      </w:r>
      <w:r w:rsidR="00A33D36">
        <w:t>rid</w:t>
      </w:r>
      <w:r>
        <w:t xml:space="preserve"> is the stated baselines in the NTS Licence.</w:t>
      </w:r>
    </w:p>
    <w:p w:rsidR="00CA13A6" w:rsidRDefault="00CA13A6" w:rsidP="009E5D07">
      <w:pPr>
        <w:pStyle w:val="ListParagraph"/>
        <w:numPr>
          <w:ilvl w:val="0"/>
          <w:numId w:val="1"/>
        </w:numPr>
      </w:pPr>
      <w:r>
        <w:t xml:space="preserve">In addition to unsold Technical Capacity, further firm capacity may be made available in each auction in accordance with </w:t>
      </w:r>
      <w:r w:rsidR="00C622F6">
        <w:t xml:space="preserve">the </w:t>
      </w:r>
      <w:r>
        <w:t>Congestion Management Procedures.</w:t>
      </w:r>
    </w:p>
    <w:p w:rsidR="00BB3539" w:rsidRPr="00BB3539" w:rsidRDefault="00CA13A6" w:rsidP="009E5D07">
      <w:pPr>
        <w:pStyle w:val="ListParagraph"/>
        <w:numPr>
          <w:ilvl w:val="0"/>
          <w:numId w:val="1"/>
        </w:numPr>
      </w:pPr>
      <w:r>
        <w:t>The release of interruptible capacity will be in line with the existing UNC rules for entry and exit.</w:t>
      </w:r>
    </w:p>
    <w:p w:rsidR="009E5D07" w:rsidRPr="005000B2" w:rsidRDefault="009E5D07" w:rsidP="009E5D07">
      <w:pPr>
        <w:rPr>
          <w:b/>
        </w:rPr>
      </w:pPr>
      <w:r w:rsidRPr="005000B2">
        <w:rPr>
          <w:b/>
        </w:rPr>
        <w:t>Congestion Management Procedures</w:t>
      </w:r>
    </w:p>
    <w:p w:rsidR="009E5D07" w:rsidRDefault="00A33D36" w:rsidP="009E5D07">
      <w:pPr>
        <w:pStyle w:val="ListParagraph"/>
        <w:numPr>
          <w:ilvl w:val="0"/>
          <w:numId w:val="1"/>
        </w:numPr>
      </w:pPr>
      <w:r>
        <w:t xml:space="preserve">Users </w:t>
      </w:r>
      <w:r w:rsidR="009E5D07">
        <w:t>can offer to Surrender capacity (minimum duration of 1 month) for periods after 1</w:t>
      </w:r>
      <w:r w:rsidR="009E5D07" w:rsidRPr="00B671B0">
        <w:rPr>
          <w:vertAlign w:val="superscript"/>
        </w:rPr>
        <w:t>st</w:t>
      </w:r>
      <w:r w:rsidR="009E5D07">
        <w:t xml:space="preserve"> November. That capacity will be included in the Available amount of capacity offered for the next auction covering the relevant period. (</w:t>
      </w:r>
      <w:r w:rsidR="001F1BCB">
        <w:t>S</w:t>
      </w:r>
      <w:r w:rsidR="009E5D07">
        <w:t>urrenders can be submitted via PRISMA already)</w:t>
      </w:r>
      <w:r w:rsidR="00560036">
        <w:t>.</w:t>
      </w:r>
    </w:p>
    <w:p w:rsidR="009E5D07" w:rsidRDefault="000B3EAB" w:rsidP="009E5D07">
      <w:pPr>
        <w:pStyle w:val="ListParagraph"/>
        <w:numPr>
          <w:ilvl w:val="0"/>
          <w:numId w:val="1"/>
        </w:numPr>
      </w:pPr>
      <w:r>
        <w:t>National Grid</w:t>
      </w:r>
      <w:r w:rsidR="009E5D07">
        <w:t xml:space="preserve"> can offer additional capacity (i.e. capacity over and above technical capacity) in a CAM auction under the Oversubscription mechanism. N</w:t>
      </w:r>
      <w:r w:rsidR="00A33D36">
        <w:t xml:space="preserve">ational </w:t>
      </w:r>
      <w:r w:rsidR="009E5D07">
        <w:t>G</w:t>
      </w:r>
      <w:r w:rsidR="00A33D36">
        <w:t>rid</w:t>
      </w:r>
      <w:r w:rsidR="009E5D07">
        <w:t xml:space="preserve"> already operates such a mechanism at all points on the network </w:t>
      </w:r>
      <w:r>
        <w:t>and</w:t>
      </w:r>
      <w:r w:rsidR="009E5D07">
        <w:t xml:space="preserve"> this will continue.</w:t>
      </w:r>
    </w:p>
    <w:p w:rsidR="00BB3539" w:rsidRPr="00BB3539" w:rsidRDefault="009E5D07" w:rsidP="005000B2">
      <w:pPr>
        <w:pStyle w:val="ListParagraph"/>
        <w:numPr>
          <w:ilvl w:val="0"/>
          <w:numId w:val="1"/>
        </w:numPr>
      </w:pPr>
      <w:r>
        <w:t xml:space="preserve">The monitoring of a </w:t>
      </w:r>
      <w:r w:rsidR="00A33D36">
        <w:t>Us</w:t>
      </w:r>
      <w:r>
        <w:t>ers capacity utilisation at IPs will continue</w:t>
      </w:r>
      <w:r w:rsidR="00221C8E">
        <w:t>,</w:t>
      </w:r>
      <w:r>
        <w:t xml:space="preserve"> </w:t>
      </w:r>
      <w:r w:rsidR="00221C8E">
        <w:t xml:space="preserve">under the Long Term Use-it-or-Lose-it mechanism </w:t>
      </w:r>
      <w:r>
        <w:t>(this process is already live).</w:t>
      </w:r>
    </w:p>
    <w:p w:rsidR="00C567A6" w:rsidRDefault="00C567A6" w:rsidP="00C567A6">
      <w:pPr>
        <w:rPr>
          <w:b/>
        </w:rPr>
      </w:pPr>
      <w:r w:rsidRPr="00C567A6">
        <w:rPr>
          <w:b/>
        </w:rPr>
        <w:t>Contingency Arrangements</w:t>
      </w:r>
    </w:p>
    <w:p w:rsidR="00C567A6" w:rsidRDefault="00C567A6" w:rsidP="00C567A6">
      <w:pPr>
        <w:pStyle w:val="ListParagraph"/>
        <w:numPr>
          <w:ilvl w:val="0"/>
          <w:numId w:val="1"/>
        </w:numPr>
      </w:pPr>
      <w:r>
        <w:t>If PRISMA is offline, or due to go offline, then PRISMA will communicate this</w:t>
      </w:r>
      <w:r w:rsidR="00CA13A6">
        <w:t xml:space="preserve"> (via e-mail)</w:t>
      </w:r>
      <w:r>
        <w:t xml:space="preserve"> to all affected parties. When PRISMA is available again then this will also be communicated to parties; a 3 hour lead time will be given before within day auctions recommence.</w:t>
      </w:r>
    </w:p>
    <w:p w:rsidR="000B3EAB" w:rsidRDefault="000B3EAB" w:rsidP="00C567A6">
      <w:pPr>
        <w:pStyle w:val="ListParagraph"/>
        <w:numPr>
          <w:ilvl w:val="0"/>
          <w:numId w:val="1"/>
        </w:numPr>
      </w:pPr>
      <w:r>
        <w:t xml:space="preserve">Under some scenarios then the following additional rule will apply. </w:t>
      </w:r>
      <w:r w:rsidR="00C567A6">
        <w:t>In t</w:t>
      </w:r>
      <w:r>
        <w:t>he event that PRISMA is offline:</w:t>
      </w:r>
    </w:p>
    <w:p w:rsidR="000B3EAB" w:rsidRDefault="00C567A6" w:rsidP="000B3EAB">
      <w:pPr>
        <w:pStyle w:val="ListParagraph"/>
        <w:numPr>
          <w:ilvl w:val="1"/>
          <w:numId w:val="1"/>
        </w:numPr>
      </w:pPr>
      <w:r>
        <w:t>so that 6 consecutive within day auctions are missed</w:t>
      </w:r>
      <w:r w:rsidR="000B3EAB">
        <w:t>;</w:t>
      </w:r>
      <w:r>
        <w:t xml:space="preserve"> </w:t>
      </w:r>
      <w:r w:rsidR="000B3EAB">
        <w:t>or</w:t>
      </w:r>
    </w:p>
    <w:p w:rsidR="000B3EAB" w:rsidRDefault="00C567A6" w:rsidP="000B3EAB">
      <w:pPr>
        <w:pStyle w:val="ListParagraph"/>
        <w:numPr>
          <w:ilvl w:val="1"/>
          <w:numId w:val="1"/>
        </w:numPr>
      </w:pPr>
      <w:r>
        <w:t>there is an outage of any duration that includes the las</w:t>
      </w:r>
      <w:r w:rsidR="000B3EAB">
        <w:t>t within day auction of the day,</w:t>
      </w:r>
    </w:p>
    <w:p w:rsidR="00C567A6" w:rsidRDefault="00C567A6" w:rsidP="000B3EAB">
      <w:pPr>
        <w:ind w:left="720"/>
      </w:pPr>
      <w:r>
        <w:t xml:space="preserve">then </w:t>
      </w:r>
      <w:r w:rsidR="00006FE8">
        <w:t xml:space="preserve">UNC </w:t>
      </w:r>
      <w:r w:rsidR="00A33D36">
        <w:t>O</w:t>
      </w:r>
      <w:r>
        <w:t>verrun</w:t>
      </w:r>
      <w:r w:rsidR="00A33D36">
        <w:t xml:space="preserve"> Charges</w:t>
      </w:r>
      <w:r>
        <w:t xml:space="preserve"> will be suspended for the day.</w:t>
      </w:r>
    </w:p>
    <w:p w:rsidR="005923AF" w:rsidRDefault="005923AF" w:rsidP="00C27F4B">
      <w:pPr>
        <w:rPr>
          <w:b/>
        </w:rPr>
      </w:pPr>
    </w:p>
    <w:p w:rsidR="005923AF" w:rsidRDefault="005923AF" w:rsidP="00C27F4B">
      <w:pPr>
        <w:rPr>
          <w:b/>
        </w:rPr>
      </w:pPr>
    </w:p>
    <w:p w:rsidR="005923AF" w:rsidRDefault="005923AF" w:rsidP="00C27F4B">
      <w:pPr>
        <w:rPr>
          <w:b/>
        </w:rPr>
      </w:pPr>
    </w:p>
    <w:p w:rsidR="00C27F4B" w:rsidRDefault="00C27F4B" w:rsidP="00C27F4B">
      <w:pPr>
        <w:rPr>
          <w:b/>
        </w:rPr>
      </w:pPr>
      <w:r w:rsidRPr="00C27F4B">
        <w:rPr>
          <w:b/>
        </w:rPr>
        <w:lastRenderedPageBreak/>
        <w:t>Further Info / Contacts</w:t>
      </w:r>
    </w:p>
    <w:p w:rsidR="00C27F4B" w:rsidRPr="004C760C" w:rsidRDefault="00C27F4B" w:rsidP="004C760C">
      <w:pPr>
        <w:pStyle w:val="ListParagraph"/>
        <w:numPr>
          <w:ilvl w:val="0"/>
          <w:numId w:val="1"/>
        </w:numPr>
        <w:rPr>
          <w:b/>
        </w:rPr>
      </w:pPr>
      <w:r>
        <w:t>Further information</w:t>
      </w:r>
      <w:r w:rsidR="004C760C">
        <w:t>, including a FAQ</w:t>
      </w:r>
      <w:r w:rsidR="00120A99">
        <w:t xml:space="preserve"> and Legal Roadmap document</w:t>
      </w:r>
      <w:r w:rsidR="004C760C">
        <w:t>,</w:t>
      </w:r>
      <w:r>
        <w:t xml:space="preserve"> is available on the NG website.</w:t>
      </w:r>
      <w:r w:rsidR="004C760C">
        <w:t xml:space="preserve"> </w:t>
      </w:r>
      <w:hyperlink r:id="rId11" w:history="1">
        <w:r w:rsidR="004C760C" w:rsidRPr="004C760C">
          <w:rPr>
            <w:rStyle w:val="Hyperlink"/>
          </w:rPr>
          <w:t>http://www2.nationalgrid.com/uk/industry-information/europe/eu-project---implementation-information/</w:t>
        </w:r>
      </w:hyperlink>
    </w:p>
    <w:p w:rsidR="004C760C" w:rsidRPr="004D5BBA" w:rsidRDefault="004C760C" w:rsidP="004C760C">
      <w:pPr>
        <w:pStyle w:val="ListParagraph"/>
        <w:numPr>
          <w:ilvl w:val="0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4D5BBA">
        <w:rPr>
          <w:rFonts w:cs="Arial"/>
        </w:rPr>
        <w:t>EIC and PRISMA Registration Queries:</w:t>
      </w:r>
    </w:p>
    <w:p w:rsidR="004C760C" w:rsidRPr="004C760C" w:rsidRDefault="004C760C" w:rsidP="004C760C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  <w:color w:val="595858"/>
        </w:rPr>
      </w:pPr>
      <w:r w:rsidRPr="004D5BBA">
        <w:rPr>
          <w:rFonts w:cs="Arial"/>
        </w:rPr>
        <w:t xml:space="preserve">Xoserve Customer Life Cycle Team - </w:t>
      </w:r>
      <w:hyperlink r:id="rId12" w:history="1">
        <w:r w:rsidRPr="004C760C">
          <w:rPr>
            <w:rStyle w:val="Hyperlink"/>
            <w:rFonts w:cs="Arial"/>
          </w:rPr>
          <w:t>customerlifecycle.spa@xoserve.com</w:t>
        </w:r>
      </w:hyperlink>
    </w:p>
    <w:p w:rsidR="004C760C" w:rsidRPr="004D5BBA" w:rsidRDefault="004C760C" w:rsidP="004C760C">
      <w:pPr>
        <w:pStyle w:val="ListParagraph"/>
        <w:numPr>
          <w:ilvl w:val="0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4D5BBA">
        <w:rPr>
          <w:rFonts w:cs="Arial"/>
        </w:rPr>
        <w:t>PRISMA Platform / Website Queries:</w:t>
      </w:r>
    </w:p>
    <w:p w:rsidR="004C760C" w:rsidRPr="004C760C" w:rsidRDefault="004C760C" w:rsidP="004C760C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  <w:color w:val="595858"/>
        </w:rPr>
      </w:pPr>
      <w:r w:rsidRPr="004D5BBA">
        <w:rPr>
          <w:rFonts w:cs="Arial"/>
        </w:rPr>
        <w:t xml:space="preserve">Email: </w:t>
      </w:r>
      <w:hyperlink r:id="rId13" w:history="1">
        <w:r w:rsidRPr="004C760C">
          <w:rPr>
            <w:rStyle w:val="Hyperlink"/>
            <w:rFonts w:cs="Arial"/>
          </w:rPr>
          <w:t>platform@prisma-capacity.eu</w:t>
        </w:r>
      </w:hyperlink>
    </w:p>
    <w:p w:rsidR="004C760C" w:rsidRPr="004C760C" w:rsidRDefault="004C760C" w:rsidP="004C760C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  <w:color w:val="595858"/>
        </w:rPr>
      </w:pPr>
      <w:r w:rsidRPr="004D5BBA">
        <w:rPr>
          <w:rFonts w:cs="Arial"/>
        </w:rPr>
        <w:t xml:space="preserve">Web: </w:t>
      </w:r>
      <w:hyperlink r:id="rId14" w:history="1">
        <w:r w:rsidRPr="004C760C">
          <w:rPr>
            <w:rStyle w:val="Hyperlink"/>
            <w:rFonts w:cs="Arial"/>
          </w:rPr>
          <w:t>www.prisma-capacity.eu</w:t>
        </w:r>
      </w:hyperlink>
    </w:p>
    <w:p w:rsidR="004C760C" w:rsidRPr="004D5BBA" w:rsidRDefault="004C760C" w:rsidP="004C760C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4D5BBA">
        <w:rPr>
          <w:rFonts w:cs="Arial"/>
        </w:rPr>
        <w:t xml:space="preserve">Phone: +49 341 69 92 990 – 69 </w:t>
      </w:r>
    </w:p>
    <w:p w:rsidR="004C760C" w:rsidRPr="004D5BBA" w:rsidRDefault="004C760C" w:rsidP="004C760C">
      <w:pPr>
        <w:pStyle w:val="ListParagraph"/>
        <w:numPr>
          <w:ilvl w:val="0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4D5BBA">
        <w:rPr>
          <w:rFonts w:cs="Arial"/>
        </w:rPr>
        <w:t>Capacity Related Questions / Queries:</w:t>
      </w:r>
    </w:p>
    <w:p w:rsidR="004D5BBA" w:rsidRPr="004D5BBA" w:rsidRDefault="004D5BBA" w:rsidP="004C760C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  <w:color w:val="595858"/>
        </w:rPr>
      </w:pPr>
      <w:r>
        <w:rPr>
          <w:rFonts w:cs="Arial"/>
        </w:rPr>
        <w:t>National Grid Capacity Team</w:t>
      </w:r>
    </w:p>
    <w:p w:rsidR="004C760C" w:rsidRPr="004D5BBA" w:rsidRDefault="0015037D" w:rsidP="004D5BBA">
      <w:pPr>
        <w:pStyle w:val="ListParagraph"/>
        <w:numPr>
          <w:ilvl w:val="2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Style w:val="Hyperlink"/>
          <w:rFonts w:cs="Arial"/>
          <w:color w:val="595858"/>
          <w:u w:val="none"/>
        </w:rPr>
      </w:pPr>
      <w:hyperlink r:id="rId15" w:history="1">
        <w:r w:rsidR="004C760C" w:rsidRPr="004C760C">
          <w:rPr>
            <w:rStyle w:val="Hyperlink"/>
            <w:rFonts w:cs="Arial"/>
          </w:rPr>
          <w:t>capacityauctions@nationalgrid.com</w:t>
        </w:r>
      </w:hyperlink>
    </w:p>
    <w:p w:rsidR="004D5BBA" w:rsidRPr="00F13D96" w:rsidRDefault="004D5BBA" w:rsidP="004D5BBA">
      <w:pPr>
        <w:pStyle w:val="ListParagraph"/>
        <w:numPr>
          <w:ilvl w:val="2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F13D96">
        <w:rPr>
          <w:rFonts w:cs="Arial"/>
        </w:rPr>
        <w:t>01926 65</w:t>
      </w:r>
      <w:r w:rsidR="00F13D96" w:rsidRPr="00F13D96">
        <w:rPr>
          <w:rFonts w:cs="Arial"/>
        </w:rPr>
        <w:t>4057</w:t>
      </w:r>
    </w:p>
    <w:p w:rsidR="004D5BBA" w:rsidRPr="004D5BBA" w:rsidRDefault="004D5BBA" w:rsidP="004C760C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  <w:color w:val="595858"/>
        </w:rPr>
      </w:pPr>
      <w:r>
        <w:rPr>
          <w:rFonts w:cs="Arial"/>
        </w:rPr>
        <w:t>Commercial Frameworks</w:t>
      </w:r>
    </w:p>
    <w:p w:rsidR="004C760C" w:rsidRPr="004D5BBA" w:rsidRDefault="0015037D" w:rsidP="004D5BBA">
      <w:pPr>
        <w:pStyle w:val="ListParagraph"/>
        <w:numPr>
          <w:ilvl w:val="2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Style w:val="Hyperlink"/>
          <w:rFonts w:cs="Arial"/>
          <w:color w:val="595858"/>
          <w:u w:val="none"/>
        </w:rPr>
      </w:pPr>
      <w:hyperlink r:id="rId16" w:history="1">
        <w:r w:rsidR="004C760C" w:rsidRPr="001A0048">
          <w:rPr>
            <w:rStyle w:val="Hyperlink"/>
            <w:rFonts w:cs="Arial"/>
          </w:rPr>
          <w:t>malcolm.montgomery@nationalgrid.com</w:t>
        </w:r>
      </w:hyperlink>
    </w:p>
    <w:p w:rsidR="004D5BBA" w:rsidRPr="004D5BBA" w:rsidRDefault="004D5BBA" w:rsidP="004D5BBA">
      <w:pPr>
        <w:pStyle w:val="ListParagraph"/>
        <w:numPr>
          <w:ilvl w:val="2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4D5BBA">
        <w:rPr>
          <w:rStyle w:val="Hyperlink"/>
          <w:rFonts w:cs="Arial"/>
          <w:color w:val="auto"/>
          <w:u w:val="none"/>
        </w:rPr>
        <w:t>01926 653991</w:t>
      </w:r>
    </w:p>
    <w:p w:rsidR="004D5BBA" w:rsidRPr="00824833" w:rsidRDefault="00824833" w:rsidP="00824833">
      <w:pPr>
        <w:pStyle w:val="ListParagraph"/>
        <w:numPr>
          <w:ilvl w:val="0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824833">
        <w:rPr>
          <w:rFonts w:cs="Arial"/>
        </w:rPr>
        <w:t xml:space="preserve">Xoserve service desk for Gemini related </w:t>
      </w:r>
      <w:r w:rsidR="001C58EA">
        <w:rPr>
          <w:rFonts w:cs="Arial"/>
        </w:rPr>
        <w:t>issue</w:t>
      </w:r>
      <w:r w:rsidRPr="00824833">
        <w:rPr>
          <w:rFonts w:cs="Arial"/>
        </w:rPr>
        <w:t>s</w:t>
      </w:r>
      <w:r w:rsidR="001C58EA">
        <w:rPr>
          <w:rFonts w:cs="Arial"/>
        </w:rPr>
        <w:t xml:space="preserve"> and/or queries:</w:t>
      </w:r>
    </w:p>
    <w:p w:rsidR="00824833" w:rsidRDefault="00824833" w:rsidP="00824833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 w:rsidRPr="00824833">
        <w:rPr>
          <w:rFonts w:cs="Arial"/>
        </w:rPr>
        <w:t>Phone</w:t>
      </w:r>
      <w:r>
        <w:rPr>
          <w:rFonts w:cs="Arial"/>
        </w:rPr>
        <w:t xml:space="preserve"> (UK): 0845 6000506</w:t>
      </w:r>
    </w:p>
    <w:p w:rsidR="00824833" w:rsidRDefault="00824833" w:rsidP="00824833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>
        <w:rPr>
          <w:rFonts w:cs="Arial"/>
        </w:rPr>
        <w:t>Phone (Int): +44121 623 2858</w:t>
      </w:r>
    </w:p>
    <w:p w:rsidR="00824833" w:rsidRPr="00824833" w:rsidRDefault="00824833" w:rsidP="00824833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>
        <w:rPr>
          <w:rFonts w:cs="Arial"/>
        </w:rPr>
        <w:t xml:space="preserve">Email: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servicedesk@xoserve.com</w:t>
        </w:r>
      </w:hyperlink>
    </w:p>
    <w:p w:rsidR="00824833" w:rsidRPr="00824833" w:rsidRDefault="00824833" w:rsidP="00824833">
      <w:pPr>
        <w:pStyle w:val="ListParagraph"/>
        <w:numPr>
          <w:ilvl w:val="1"/>
          <w:numId w:val="1"/>
        </w:numPr>
        <w:shd w:val="clear" w:color="auto" w:fill="FFFFFF"/>
        <w:spacing w:before="150" w:after="210" w:line="360" w:lineRule="atLeast"/>
        <w:ind w:right="195"/>
        <w:textAlignment w:val="baseline"/>
        <w:rPr>
          <w:rFonts w:cs="Arial"/>
        </w:rPr>
      </w:pPr>
      <w:r>
        <w:rPr>
          <w:rFonts w:ascii="Arial" w:hAnsi="Arial" w:cs="Arial"/>
          <w:color w:val="595858"/>
          <w:sz w:val="20"/>
          <w:szCs w:val="20"/>
        </w:rPr>
        <w:t xml:space="preserve">Website: </w:t>
      </w: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www.xoserve.com/index.php/our-systems/gemini/gemini-training/</w:t>
        </w:r>
      </w:hyperlink>
      <w:r>
        <w:rPr>
          <w:rFonts w:ascii="Arial" w:hAnsi="Arial" w:cs="Arial"/>
          <w:color w:val="595858"/>
          <w:sz w:val="20"/>
          <w:szCs w:val="20"/>
        </w:rPr>
        <w:t>  </w:t>
      </w:r>
    </w:p>
    <w:sectPr w:rsidR="00824833" w:rsidRPr="00824833" w:rsidSect="00006FE8">
      <w:pgSz w:w="12240" w:h="15840"/>
      <w:pgMar w:top="1021" w:right="1440" w:bottom="102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7D" w:rsidRDefault="0015037D" w:rsidP="001F02C0">
      <w:pPr>
        <w:spacing w:after="0" w:line="240" w:lineRule="auto"/>
      </w:pPr>
      <w:r>
        <w:separator/>
      </w:r>
    </w:p>
  </w:endnote>
  <w:endnote w:type="continuationSeparator" w:id="0">
    <w:p w:rsidR="0015037D" w:rsidRDefault="0015037D" w:rsidP="001F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7D" w:rsidRDefault="0015037D" w:rsidP="001F02C0">
      <w:pPr>
        <w:spacing w:after="0" w:line="240" w:lineRule="auto"/>
      </w:pPr>
      <w:r>
        <w:separator/>
      </w:r>
    </w:p>
  </w:footnote>
  <w:footnote w:type="continuationSeparator" w:id="0">
    <w:p w:rsidR="0015037D" w:rsidRDefault="0015037D" w:rsidP="001F02C0">
      <w:pPr>
        <w:spacing w:after="0" w:line="240" w:lineRule="auto"/>
      </w:pPr>
      <w:r>
        <w:continuationSeparator/>
      </w:r>
    </w:p>
  </w:footnote>
  <w:footnote w:id="1">
    <w:p w:rsidR="005E60FD" w:rsidRDefault="005E60FD">
      <w:pPr>
        <w:pStyle w:val="FootnoteText"/>
      </w:pPr>
      <w:r>
        <w:rPr>
          <w:rStyle w:val="FootnoteReference"/>
        </w:rPr>
        <w:footnoteRef/>
      </w:r>
      <w:r>
        <w:t xml:space="preserve"> Reference Conditions are with respect to</w:t>
      </w:r>
      <w:r w:rsidR="00392FAF">
        <w:t xml:space="preserve"> temperature ref. for Volume, and temperature ref. for Wobbe.</w:t>
      </w:r>
    </w:p>
  </w:footnote>
  <w:footnote w:id="2">
    <w:p w:rsidR="00F926BB" w:rsidRDefault="00F926BB">
      <w:pPr>
        <w:pStyle w:val="FootnoteText"/>
      </w:pPr>
      <w:r>
        <w:rPr>
          <w:rStyle w:val="FootnoteReference"/>
        </w:rPr>
        <w:footnoteRef/>
      </w:r>
      <w:r>
        <w:t xml:space="preserve"> On the BBL side</w:t>
      </w:r>
      <w:r w:rsidR="00B671B0">
        <w:t xml:space="preserve"> only</w:t>
      </w:r>
      <w:r>
        <w:t xml:space="preserve"> then </w:t>
      </w:r>
      <w:r w:rsidR="00B671B0">
        <w:t>reference conditions will be on a 0/25 basis.</w:t>
      </w:r>
    </w:p>
  </w:footnote>
  <w:footnote w:id="3">
    <w:p w:rsidR="005D3E37" w:rsidRDefault="005D3E37">
      <w:pPr>
        <w:pStyle w:val="FootnoteText"/>
      </w:pPr>
      <w:r>
        <w:rPr>
          <w:rStyle w:val="FootnoteReference"/>
        </w:rPr>
        <w:footnoteRef/>
      </w:r>
      <w:r>
        <w:t xml:space="preserve"> Subject to approval of </w:t>
      </w:r>
      <w:r w:rsidR="00A33D36">
        <w:t xml:space="preserve">UNC </w:t>
      </w:r>
      <w:r>
        <w:t xml:space="preserve">Modfication Proposal </w:t>
      </w:r>
      <w:r w:rsidR="00A33D36">
        <w:t>0</w:t>
      </w:r>
      <w:r>
        <w:t>562.</w:t>
      </w:r>
    </w:p>
  </w:footnote>
  <w:footnote w:id="4">
    <w:p w:rsidR="001F02C0" w:rsidRDefault="001F02C0">
      <w:pPr>
        <w:pStyle w:val="FootnoteText"/>
      </w:pPr>
      <w:r>
        <w:rPr>
          <w:rStyle w:val="FootnoteReference"/>
        </w:rPr>
        <w:footnoteRef/>
      </w:r>
      <w:r>
        <w:t xml:space="preserve"> Except for Exceptional Event da</w:t>
      </w:r>
      <w:r w:rsidR="008E2B34">
        <w:t>ys (e.g. constraints) where nomination</w:t>
      </w:r>
      <w:r>
        <w:t xml:space="preserve"> validation can be applied </w:t>
      </w:r>
      <w:r w:rsidR="00006FE8">
        <w:t>at</w:t>
      </w:r>
      <w:r>
        <w:t xml:space="preserve"> an aggregate level.</w:t>
      </w:r>
    </w:p>
  </w:footnote>
  <w:footnote w:id="5">
    <w:p w:rsidR="009E5D07" w:rsidRDefault="009E5D07">
      <w:pPr>
        <w:pStyle w:val="FootnoteText"/>
      </w:pPr>
      <w:r>
        <w:rPr>
          <w:rStyle w:val="FootnoteReference"/>
        </w:rPr>
        <w:footnoteRef/>
      </w:r>
      <w:r>
        <w:t xml:space="preserve"> Assignment of </w:t>
      </w:r>
      <w:r w:rsidR="00120A99">
        <w:t xml:space="preserve">NG </w:t>
      </w:r>
      <w:r>
        <w:t>legacy Enduring Exit Capacity will continue to be possible for a limited time.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7A6"/>
    <w:multiLevelType w:val="hybridMultilevel"/>
    <w:tmpl w:val="CEAC4682"/>
    <w:lvl w:ilvl="0" w:tplc="B51A2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A5"/>
    <w:rsid w:val="00006FE8"/>
    <w:rsid w:val="000437EF"/>
    <w:rsid w:val="00056EE9"/>
    <w:rsid w:val="000B2577"/>
    <w:rsid w:val="000B3EAB"/>
    <w:rsid w:val="00120A99"/>
    <w:rsid w:val="0015037D"/>
    <w:rsid w:val="00154F1D"/>
    <w:rsid w:val="0017164B"/>
    <w:rsid w:val="0018136B"/>
    <w:rsid w:val="001C58EA"/>
    <w:rsid w:val="001D2BA9"/>
    <w:rsid w:val="001F02C0"/>
    <w:rsid w:val="001F1BCB"/>
    <w:rsid w:val="00206B0A"/>
    <w:rsid w:val="00221C8E"/>
    <w:rsid w:val="00250519"/>
    <w:rsid w:val="00297F52"/>
    <w:rsid w:val="002D1B78"/>
    <w:rsid w:val="00392FAF"/>
    <w:rsid w:val="003A35F1"/>
    <w:rsid w:val="004456B0"/>
    <w:rsid w:val="004C760C"/>
    <w:rsid w:val="004D5BBA"/>
    <w:rsid w:val="005000B2"/>
    <w:rsid w:val="00560036"/>
    <w:rsid w:val="005923AF"/>
    <w:rsid w:val="005D3E37"/>
    <w:rsid w:val="005E60FD"/>
    <w:rsid w:val="00606271"/>
    <w:rsid w:val="00625283"/>
    <w:rsid w:val="0073527E"/>
    <w:rsid w:val="007C0E31"/>
    <w:rsid w:val="007C65EB"/>
    <w:rsid w:val="008234ED"/>
    <w:rsid w:val="0082354E"/>
    <w:rsid w:val="00824833"/>
    <w:rsid w:val="0086549A"/>
    <w:rsid w:val="008737D0"/>
    <w:rsid w:val="008E2B34"/>
    <w:rsid w:val="0092253A"/>
    <w:rsid w:val="00946940"/>
    <w:rsid w:val="00956418"/>
    <w:rsid w:val="009B7BD5"/>
    <w:rsid w:val="009C2F4C"/>
    <w:rsid w:val="009E5D07"/>
    <w:rsid w:val="00A33D36"/>
    <w:rsid w:val="00A95AA1"/>
    <w:rsid w:val="00AC501C"/>
    <w:rsid w:val="00AD5CA5"/>
    <w:rsid w:val="00AD6C2F"/>
    <w:rsid w:val="00B103AB"/>
    <w:rsid w:val="00B671B0"/>
    <w:rsid w:val="00B80604"/>
    <w:rsid w:val="00B80E0A"/>
    <w:rsid w:val="00BB3539"/>
    <w:rsid w:val="00BE5177"/>
    <w:rsid w:val="00C27F4B"/>
    <w:rsid w:val="00C40570"/>
    <w:rsid w:val="00C567A6"/>
    <w:rsid w:val="00C622F6"/>
    <w:rsid w:val="00C66D74"/>
    <w:rsid w:val="00C83F70"/>
    <w:rsid w:val="00CA13A6"/>
    <w:rsid w:val="00D0325C"/>
    <w:rsid w:val="00D2544C"/>
    <w:rsid w:val="00D56149"/>
    <w:rsid w:val="00D56317"/>
    <w:rsid w:val="00DD5C44"/>
    <w:rsid w:val="00DE5A76"/>
    <w:rsid w:val="00E2583F"/>
    <w:rsid w:val="00E40648"/>
    <w:rsid w:val="00F13D96"/>
    <w:rsid w:val="00F926BB"/>
    <w:rsid w:val="00FA397A"/>
    <w:rsid w:val="00FF02B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02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2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2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76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2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02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2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2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76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3472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30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2775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tform@prisma-capacity.eu" TargetMode="External"/><Relationship Id="rId18" Type="http://schemas.openxmlformats.org/officeDocument/2006/relationships/hyperlink" Target="http://www.xoserve.com/index.php/our-systems/gemini/gemini-training/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customerlifecycle.spa@xoserve.com" TargetMode="External"/><Relationship Id="rId17" Type="http://schemas.openxmlformats.org/officeDocument/2006/relationships/hyperlink" Target="mailto:servicedesk@xoserv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lcolm.montgomery@nationalgri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nationalgrid.com/uk/industry-information/europe/eu-project---implementation-inform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pacityauctions@nationalgrid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2.nationalgrid.com/uk/industry-information/europe/eu-project---implementation-informatio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ntsog.eu/publications/capacity-allocation-cam" TargetMode="External"/><Relationship Id="rId14" Type="http://schemas.openxmlformats.org/officeDocument/2006/relationships/hyperlink" Target="http://www.prisma-capacity.eu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796030E0745AF0C5DD8AB7C9DB4" ma:contentTypeVersion="3" ma:contentTypeDescription="Create a new document." ma:contentTypeScope="" ma:versionID="9a3e1d7f288bcbf2a5030b15acffb71e">
  <xsd:schema xmlns:xsd="http://www.w3.org/2001/XMLSchema" xmlns:xs="http://www.w3.org/2001/XMLSchema" xmlns:p="http://schemas.microsoft.com/office/2006/metadata/properties" xmlns:ns2="faac5d55-1921-421f-aaab-07690666a227" targetNamespace="http://schemas.microsoft.com/office/2006/metadata/properties" ma:root="true" ma:fieldsID="1fc64e5b8d4eab27e6bd455c55b46aa4" ns2:_="">
    <xsd:import namespace="faac5d55-1921-421f-aaab-07690666a227"/>
    <xsd:element name="properties">
      <xsd:complexType>
        <xsd:sequence>
          <xsd:element name="documentManagement">
            <xsd:complexType>
              <xsd:all>
                <xsd:element ref="ns2:Original_x0020_Upload_x0020_Date" minOccurs="0"/>
                <xsd:element ref="ns2: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5d55-1921-421f-aaab-07690666a227" elementFormDefault="qualified">
    <xsd:import namespace="http://schemas.microsoft.com/office/2006/documentManagement/types"/>
    <xsd:import namespace="http://schemas.microsoft.com/office/infopath/2007/PartnerControls"/>
    <xsd:element name="Original_x0020_Upload_x0020_Date" ma:index="8" nillable="true" ma:displayName="Original Upload Date" ma:format="DateOnly" ma:internalName="Original_x0020_Upload_x0020_Date">
      <xsd:simpleType>
        <xsd:restriction base="dms:DateTime"/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faac5d55-1921-421f-aaab-07690666a227">
      <UserInfo>
        <DisplayName/>
        <AccountId xsi:nil="true"/>
        <AccountType/>
      </UserInfo>
    </Document_x0020_Owner>
    <Original_x0020_Upload_x0020_Date xmlns="faac5d55-1921-421f-aaab-07690666a227" xsi:nil="true"/>
  </documentManagement>
</p:properties>
</file>

<file path=customXml/itemProps1.xml><?xml version="1.0" encoding="utf-8"?>
<ds:datastoreItem xmlns:ds="http://schemas.openxmlformats.org/officeDocument/2006/customXml" ds:itemID="{62650677-C5A8-48C9-BFAC-4260FB859E73}"/>
</file>

<file path=customXml/itemProps2.xml><?xml version="1.0" encoding="utf-8"?>
<ds:datastoreItem xmlns:ds="http://schemas.openxmlformats.org/officeDocument/2006/customXml" ds:itemID="{AE666EC4-CFC6-48AC-84F7-12D5AAF980B0}"/>
</file>

<file path=customXml/itemProps3.xml><?xml version="1.0" encoding="utf-8"?>
<ds:datastoreItem xmlns:ds="http://schemas.openxmlformats.org/officeDocument/2006/customXml" ds:itemID="{47E814AC-DDCA-4517-B66D-5530686BD110}"/>
</file>

<file path=customXml/itemProps4.xml><?xml version="1.0" encoding="utf-8"?>
<ds:datastoreItem xmlns:ds="http://schemas.openxmlformats.org/officeDocument/2006/customXml" ds:itemID="{B278397C-D04E-4921-A868-F91BBFDD2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 for Gas Days from 1st November 2015 </dc:title>
  <dc:creator>Malcolm Montgomery</dc:creator>
  <cp:lastModifiedBy>Gary Kilburn</cp:lastModifiedBy>
  <cp:revision>2</cp:revision>
  <cp:lastPrinted>2015-10-09T09:51:00Z</cp:lastPrinted>
  <dcterms:created xsi:type="dcterms:W3CDTF">2015-10-19T13:28:00Z</dcterms:created>
  <dcterms:modified xsi:type="dcterms:W3CDTF">2015-10-19T13:28:00Z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0x0101000FB79796030E0745AF0C5DD8AB7C9DB4</vt:lpwstr>
  </property>
</Properties>
</file>